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spacing w:line="700" w:lineRule="exact"/>
        <w:jc w:val="center"/>
        <w:rPr>
          <w:rFonts w:ascii="方正小标宋简体" w:hAnsi="黑体" w:eastAsia="方正小标宋简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西北农林科技大学</w:t>
      </w:r>
    </w:p>
    <w:p>
      <w:pPr>
        <w:spacing w:line="700" w:lineRule="exact"/>
        <w:jc w:val="center"/>
        <w:rPr>
          <w:rFonts w:ascii="方正小标宋简体" w:hAnsi="黑体" w:eastAsia="方正小标宋简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sz w:val="44"/>
          <w:szCs w:val="44"/>
          <w:lang w:eastAsia="zh-CN"/>
        </w:rPr>
        <w:t>学生因肺结核</w:t>
      </w: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休复学管理制度</w:t>
      </w:r>
    </w:p>
    <w:p>
      <w:pPr>
        <w:spacing w:line="54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为了进一步加强学校传染病管理，减少校内传染病传播，切实保护其他易感人群的健康，保障患病学生和职工的规范化治疗，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《学校结核病防控工作规范（2017版）》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患有肺结核的</w:t>
      </w:r>
      <w:r>
        <w:rPr>
          <w:rFonts w:hint="eastAsia" w:ascii="仿宋" w:hAnsi="仿宋" w:eastAsia="仿宋" w:cs="仿宋"/>
          <w:sz w:val="32"/>
          <w:szCs w:val="32"/>
        </w:rPr>
        <w:t>学生，经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专科</w:t>
      </w:r>
      <w:r>
        <w:rPr>
          <w:rFonts w:hint="eastAsia" w:ascii="仿宋" w:hAnsi="仿宋" w:eastAsia="仿宋" w:cs="仿宋"/>
          <w:sz w:val="32"/>
          <w:szCs w:val="32"/>
        </w:rPr>
        <w:t>医疗机构认定需长期治疗或不适宜集中学习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，请假超过该学期总学时三分之一以上应予休学。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休学条件与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（一）休学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符合下列条件之一者：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1.菌阳肺结核患者（包括涂片阳性和或培养阳性患者）；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2.胸部X光片显示肺部病灶范围广泛和或伴有空洞的菌阴肺结核患者；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3.具有明显的肺结核症状；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4.结核病定点医疗机构建议休学的其他情况。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（二）休学流程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根据患病学生的诊疗情况或结核病定点医疗机构的诊断建议，对符合休学条件的学生，校医院开具休学诊断证明提交学院，学院按照学校相关规定负责落实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督促</w:t>
      </w:r>
      <w:r>
        <w:rPr>
          <w:rFonts w:hint="eastAsia" w:ascii="仿宋" w:hAnsi="仿宋" w:eastAsia="仿宋" w:cs="宋体"/>
          <w:sz w:val="32"/>
          <w:szCs w:val="32"/>
        </w:rPr>
        <w:t>学生的休学及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思想心理</w:t>
      </w:r>
      <w:r>
        <w:rPr>
          <w:rFonts w:hint="eastAsia" w:ascii="仿宋" w:hAnsi="仿宋" w:eastAsia="仿宋" w:cs="宋体"/>
          <w:sz w:val="32"/>
          <w:szCs w:val="32"/>
        </w:rPr>
        <w:t>工作。学生处、教务处、学院做好登记工作。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二、复学条件与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宋体"/>
          <w:sz w:val="32"/>
          <w:szCs w:val="32"/>
          <w:lang w:eastAsia="zh-CN"/>
        </w:rPr>
      </w:pPr>
      <w:r>
        <w:rPr>
          <w:rFonts w:hint="eastAsia" w:ascii="楷体" w:hAnsi="楷体" w:eastAsia="楷体" w:cs="宋体"/>
          <w:sz w:val="32"/>
          <w:szCs w:val="32"/>
        </w:rPr>
        <w:t>（一）复学</w:t>
      </w:r>
      <w:r>
        <w:rPr>
          <w:rFonts w:hint="eastAsia" w:ascii="楷体" w:hAnsi="楷体" w:eastAsia="楷体" w:cs="宋体"/>
          <w:sz w:val="32"/>
          <w:szCs w:val="32"/>
          <w:lang w:eastAsia="zh-CN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患者经过规范治疗，病情好转，经校医院审核或复查，满足下列条件之一者：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1.菌阳肺结核患者以及重症菌阴肺结核患者（包括有空洞/大片干酪状坏死病灶/栗粒性肺结核等）经过规范治疗完成全疗程，初治、复治、耐多药患者分别达到其治愈或治疗成功的标准。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2.菌阴肺结核患者经过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sz w:val="32"/>
          <w:szCs w:val="32"/>
        </w:rPr>
        <w:t>个月的规范治疗后，症状减轻或消失，胸部X光片病灶明显吸收，后续2次痰涂片检查均阴性，并且至少一次痰培养检查为阴性（每次痰涂片检查的间隔时间至少满1个月）。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（二）复学流程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患病学生经过规范治疗后，由专科定点医院出具治愈证明，或者经过规范治疗后病情稳定不具有传染性时，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患</w:t>
      </w:r>
      <w:r>
        <w:rPr>
          <w:rFonts w:hint="eastAsia" w:ascii="仿宋" w:hAnsi="仿宋" w:eastAsia="仿宋" w:cs="宋体"/>
          <w:sz w:val="32"/>
          <w:szCs w:val="32"/>
        </w:rPr>
        <w:t>病学生提供治疗检查资料、诊断证明，由学院提交给校医院，校医院复核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或复查</w:t>
      </w:r>
      <w:r>
        <w:rPr>
          <w:rFonts w:hint="eastAsia" w:ascii="仿宋" w:hAnsi="仿宋" w:eastAsia="仿宋" w:cs="宋体"/>
          <w:sz w:val="32"/>
          <w:szCs w:val="32"/>
        </w:rPr>
        <w:t>后根据病情提出并开具建议复学证明，并注明后续治疗管理措施和要求。学院根据校医院意见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协助</w:t>
      </w:r>
      <w:r>
        <w:rPr>
          <w:rFonts w:hint="eastAsia" w:ascii="仿宋" w:hAnsi="仿宋" w:eastAsia="仿宋" w:cs="宋体"/>
          <w:sz w:val="32"/>
          <w:szCs w:val="32"/>
        </w:rPr>
        <w:t>办理复学手续并督促学生落实后续治疗管理措施。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E6DD"/>
    <w:multiLevelType w:val="singleLevel"/>
    <w:tmpl w:val="0271E6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86274"/>
    <w:rsid w:val="24E25BF9"/>
    <w:rsid w:val="59786274"/>
    <w:rsid w:val="683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2019-11-07T02:35:00Z</dcterms:created>
  <dc:creator>疾风</dc:creator>
  <cp:lastModifiedBy>疾风</cp:lastModifiedBy>
  <dcterms:modified xsi:type="dcterms:W3CDTF">2019-12-04T00:48:05Z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